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Secrecy and Trust in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John </w:t>
      </w:r>
      <w:r>
        <w:rPr>
          <w:rFonts w:ascii="Times New Roman" w:hAnsi="Times New Roman"/>
          <w:sz w:val="24"/>
          <w:szCs w:val="24"/>
          <w:rtl w:val="0"/>
          <w:lang w:val="en-US"/>
        </w:rPr>
        <w:t>Le Carr</w:t>
      </w:r>
      <w:r>
        <w:rPr>
          <w:rFonts w:ascii="Times New Roman" w:hAnsi="Times New Roman" w:hint="default"/>
          <w:sz w:val="24"/>
          <w:szCs w:val="24"/>
          <w:rtl w:val="0"/>
          <w:lang w:val="en-US"/>
        </w:rPr>
        <w:t>é</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The Spy Who Came in From the Cold</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tab/>
        <w:t>John Le Carr</w:t>
      </w:r>
      <w:r>
        <w:rPr>
          <w:rFonts w:ascii="Times New Roman" w:hAnsi="Times New Roman" w:hint="default"/>
          <w:sz w:val="24"/>
          <w:szCs w:val="24"/>
          <w:rtl w:val="0"/>
          <w:lang w:val="en-US"/>
        </w:rPr>
        <w:t>é’</w:t>
      </w:r>
      <w:r>
        <w:rPr>
          <w:rFonts w:ascii="Times New Roman" w:hAnsi="Times New Roman"/>
          <w:sz w:val="24"/>
          <w:szCs w:val="24"/>
          <w:rtl w:val="0"/>
          <w:lang w:val="en-US"/>
        </w:rPr>
        <w:t xml:space="preserve">s 1963 spy novel </w:t>
      </w:r>
      <w:r>
        <w:rPr>
          <w:rFonts w:ascii="Times New Roman" w:hAnsi="Times New Roman"/>
          <w:i w:val="1"/>
          <w:iCs w:val="1"/>
          <w:sz w:val="24"/>
          <w:szCs w:val="24"/>
          <w:rtl w:val="0"/>
          <w:lang w:val="en-US"/>
        </w:rPr>
        <w:t>The Spy Who Came in From the Cold</w:t>
      </w:r>
      <w:r>
        <w:rPr>
          <w:rFonts w:ascii="Times New Roman" w:hAnsi="Times New Roman"/>
          <w:sz w:val="24"/>
          <w:szCs w:val="24"/>
          <w:rtl w:val="0"/>
          <w:lang w:val="en-US"/>
        </w:rPr>
        <w:t xml:space="preserve"> sets the pace for the ambiguity of both morality and mortality when the protagonist Alec Leamas watches his cohort Karl Reimeck gunned down in area Leamas assumed was safe.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 xml:space="preserve">takes this opportunity in the infancy of the novel to tell the reader two things: in the world of espionage, there is no such thing as absolute safety, and, secondly, the world of a spy is encircled in </w:t>
      </w:r>
      <w:r>
        <w:rPr>
          <w:rFonts w:ascii="Times New Roman" w:hAnsi="Times New Roman"/>
          <w:sz w:val="24"/>
          <w:szCs w:val="24"/>
          <w:rtl w:val="0"/>
          <w:lang w:val="en-US"/>
        </w:rPr>
        <w:t>uncertainty</w:t>
      </w:r>
      <w:r>
        <w:rPr>
          <w:rFonts w:ascii="Times New Roman" w:hAnsi="Times New Roman"/>
          <w:sz w:val="24"/>
          <w:szCs w:val="24"/>
          <w:rtl w:val="0"/>
          <w:lang w:val="en-US"/>
        </w:rPr>
        <w:t>. To stress the latter part,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presumably chose his verbiage with a purpose in the scene of Reimeck</w:t>
      </w:r>
      <w:r>
        <w:rPr>
          <w:rFonts w:ascii="Times New Roman" w:hAnsi="Times New Roman" w:hint="default"/>
          <w:sz w:val="24"/>
          <w:szCs w:val="24"/>
          <w:rtl w:val="0"/>
          <w:lang w:val="en-US"/>
        </w:rPr>
        <w:t>’</w:t>
      </w:r>
      <w:r>
        <w:rPr>
          <w:rFonts w:ascii="Times New Roman" w:hAnsi="Times New Roman"/>
          <w:sz w:val="24"/>
          <w:szCs w:val="24"/>
          <w:rtl w:val="0"/>
          <w:lang w:val="en-US"/>
        </w:rPr>
        <w:t xml:space="preserve">s assassination by giving the shooter no more description than of being an </w:t>
      </w:r>
      <w:r>
        <w:rPr>
          <w:rFonts w:ascii="Times New Roman" w:hAnsi="Times New Roman" w:hint="default"/>
          <w:sz w:val="24"/>
          <w:szCs w:val="24"/>
          <w:rtl w:val="0"/>
          <w:lang w:val="en-US"/>
        </w:rPr>
        <w:t>“</w:t>
      </w:r>
      <w:r>
        <w:rPr>
          <w:rFonts w:ascii="Times New Roman" w:hAnsi="Times New Roman"/>
          <w:sz w:val="24"/>
          <w:szCs w:val="24"/>
          <w:rtl w:val="0"/>
          <w:lang w:val="en-US"/>
        </w:rPr>
        <w:t>East German sentry.</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doing so,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made the killer nothing more than a nameless, faceless entity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systemic part of the military complex and no longer an individual.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irony in governments making the decision regarding right and wrong, moral or a(im)moral, is that the agency (government) acts on the will of one or few decision makers in the uppermost echelons of a government. Reimeck</w:t>
      </w:r>
      <w:r>
        <w:rPr>
          <w:rFonts w:ascii="Times New Roman" w:hAnsi="Times New Roman" w:hint="default"/>
          <w:sz w:val="24"/>
          <w:szCs w:val="24"/>
          <w:rtl w:val="0"/>
          <w:lang w:val="en-US"/>
        </w:rPr>
        <w:t>’</w:t>
      </w:r>
      <w:r>
        <w:rPr>
          <w:rFonts w:ascii="Times New Roman" w:hAnsi="Times New Roman"/>
          <w:sz w:val="24"/>
          <w:szCs w:val="24"/>
          <w:rtl w:val="0"/>
          <w:lang w:val="en-US"/>
        </w:rPr>
        <w:t xml:space="preserve">s murderer is methodical, even as </w:t>
      </w:r>
      <w:r>
        <w:rPr>
          <w:rFonts w:ascii="Times New Roman" w:hAnsi="Times New Roman" w:hint="default"/>
          <w:sz w:val="24"/>
          <w:szCs w:val="24"/>
          <w:rtl w:val="0"/>
          <w:lang w:val="en-US"/>
        </w:rPr>
        <w:t>“</w:t>
      </w:r>
      <w:r>
        <w:rPr>
          <w:rFonts w:ascii="Times New Roman" w:hAnsi="Times New Roman"/>
          <w:sz w:val="24"/>
          <w:szCs w:val="24"/>
          <w:rtl w:val="0"/>
          <w:lang w:val="en-US"/>
        </w:rPr>
        <w:t>the East German sentry fired, quite carefully, away from them into his own sector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(8).  In this action,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shows his readers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an ambiguous fashion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governments are willing to turn against their own for what they perceive to be the greater good. There remains a dichotomy between the individual being erased once one is indoctrinated into a government (especially in lower levels such as the case with the East German sentry), yet the idea of an autonomous government is also erased when stripped down and viewed as nothing more than a figurative puppet behind a select group of powerful puppeteers.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As a genre, spy literature is centered around deception, lies, and looking at surroundings past their face value; so, too, is the detective genre. As Barzun explicates in his </w:t>
      </w:r>
      <w:r>
        <w:rPr>
          <w:rFonts w:ascii="Times New Roman" w:hAnsi="Times New Roman" w:hint="default"/>
          <w:sz w:val="24"/>
          <w:szCs w:val="24"/>
          <w:rtl w:val="0"/>
          <w:lang w:val="en-US"/>
        </w:rPr>
        <w:t>“</w:t>
      </w:r>
      <w:r>
        <w:rPr>
          <w:rFonts w:ascii="Times New Roman" w:hAnsi="Times New Roman"/>
          <w:sz w:val="24"/>
          <w:szCs w:val="24"/>
          <w:rtl w:val="0"/>
          <w:lang w:val="en-US"/>
        </w:rPr>
        <w:t>Mediations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article, there is large difference between spy and detective narratives in fiction. Bazrun said that, </w:t>
      </w:r>
      <w:r>
        <w:rPr>
          <w:rFonts w:ascii="Times New Roman" w:hAnsi="Times New Roman" w:hint="default"/>
          <w:sz w:val="24"/>
          <w:szCs w:val="24"/>
          <w:rtl w:val="0"/>
          <w:lang w:val="en-US"/>
        </w:rPr>
        <w:t>“</w:t>
      </w:r>
      <w:r>
        <w:rPr>
          <w:rFonts w:ascii="Times New Roman" w:hAnsi="Times New Roman"/>
          <w:sz w:val="24"/>
          <w:szCs w:val="24"/>
          <w:rtl w:val="0"/>
          <w:lang w:val="en-US"/>
        </w:rPr>
        <w:t>under a surface likeness the purposes of spying and criminal detection are opposite: the spy aims at destroying a polity by sowing confusion and civil strife; the detective aims at saving a polity by suppressing crime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(172). In pointing out this key difference, Barzun not only cements the questionable morality of the spy, but also that of the government.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 xml:space="preserve">adds a layer of morality and questionable governmental ethics in the conversation between Leamas and Fiedler. </w:t>
        <w:tab/>
        <w:tab/>
        <w:t xml:space="preserve">Leamas, though beaten down through losses, gives off the impression that he still believes he is on the side of right is fighting against the wrong (or the evil). As is revealed throughout the conversation, right and wrong are situationally-dependent. When Fiedler asks Leamas about the possibility of London ordering the murder of himself, Leamas replies with a simple </w:t>
      </w:r>
      <w:r>
        <w:rPr>
          <w:rFonts w:ascii="Times New Roman" w:hAnsi="Times New Roman" w:hint="default"/>
          <w:sz w:val="24"/>
          <w:szCs w:val="24"/>
          <w:rtl w:val="0"/>
          <w:lang w:val="en-US"/>
        </w:rPr>
        <w:t>“</w:t>
      </w:r>
      <w:r>
        <w:rPr>
          <w:rFonts w:ascii="Times New Roman" w:hAnsi="Times New Roman"/>
          <w:sz w:val="24"/>
          <w:szCs w:val="24"/>
          <w:rtl w:val="0"/>
          <w:lang w:val="en-US"/>
        </w:rPr>
        <w:t>it depends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response. Fiedler takes the opportunity to lead Leamas to a realization of his own government when he replies with, </w:t>
      </w:r>
      <w:r>
        <w:rPr>
          <w:rFonts w:ascii="Times New Roman" w:hAnsi="Times New Roman" w:hint="default"/>
          <w:sz w:val="24"/>
          <w:szCs w:val="24"/>
          <w:rtl w:val="0"/>
          <w:lang w:val="en-US"/>
        </w:rPr>
        <w:t>“</w:t>
      </w:r>
      <w:r>
        <w:rPr>
          <w:rFonts w:ascii="Times New Roman" w:hAnsi="Times New Roman"/>
          <w:sz w:val="24"/>
          <w:szCs w:val="24"/>
          <w:rtl w:val="0"/>
          <w:lang w:val="en-US"/>
        </w:rPr>
        <w:t>It depends on the need. Like Stalin, in fact. The traffic accident and the statistics. That is a great relief</w:t>
      </w:r>
      <w:r>
        <w:rPr>
          <w:rFonts w:ascii="Times New Roman" w:hAnsi="Times New Roman" w:hint="default"/>
          <w:sz w:val="24"/>
          <w:szCs w:val="24"/>
          <w:rtl w:val="0"/>
          <w:lang w:val="en-US"/>
        </w:rPr>
        <w:t xml:space="preserve">” </w:t>
      </w:r>
      <w:r>
        <w:rPr>
          <w:rFonts w:ascii="Times New Roman" w:hAnsi="Times New Roman"/>
          <w:sz w:val="24"/>
          <w:szCs w:val="24"/>
          <w:rtl w:val="0"/>
          <w:lang w:val="en-US"/>
        </w:rPr>
        <w:t>(162). Le Carr</w:t>
      </w:r>
      <w:r>
        <w:rPr>
          <w:rFonts w:ascii="Times New Roman" w:hAnsi="Times New Roman" w:hint="default"/>
          <w:sz w:val="24"/>
          <w:szCs w:val="24"/>
          <w:rtl w:val="0"/>
          <w:lang w:val="en-US"/>
        </w:rPr>
        <w:t>é’</w:t>
      </w:r>
      <w:r>
        <w:rPr>
          <w:rFonts w:ascii="Times New Roman" w:hAnsi="Times New Roman"/>
          <w:sz w:val="24"/>
          <w:szCs w:val="24"/>
          <w:rtl w:val="0"/>
          <w:lang w:val="en-US"/>
        </w:rPr>
        <w:t>s reference to Stalin is an interesting one because, while almost everyone can agree that Stalin and his reign were nothing short of horrendous, there will always be a group who agrees with an act or ideology, making all abstract matters and their results dependent on the need.</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Dependency is another theme in spy literature; especially in Le Carr</w:t>
      </w:r>
      <w:r>
        <w:rPr>
          <w:rFonts w:ascii="Times New Roman" w:hAnsi="Times New Roman" w:hint="default"/>
          <w:sz w:val="24"/>
          <w:szCs w:val="24"/>
          <w:rtl w:val="0"/>
          <w:lang w:val="en-US"/>
        </w:rPr>
        <w:t>é’</w:t>
      </w:r>
      <w:r>
        <w:rPr>
          <w:rFonts w:ascii="Times New Roman" w:hAnsi="Times New Roman"/>
          <w:sz w:val="24"/>
          <w:szCs w:val="24"/>
          <w:rtl w:val="0"/>
          <w:lang w:val="en-US"/>
        </w:rPr>
        <w:t xml:space="preserve">s work. Agencies depend on a myriad of different departments and personnel, and vice versa. Hindersmann argues that the agent relies on the agency more than the agency depends on the agent. The agency (in this particular instance, the intelligence service) views their personnel as a necessary expendable, but Hindersmann argues that, </w:t>
      </w:r>
      <w:r>
        <w:rPr>
          <w:rFonts w:ascii="Times New Roman" w:hAnsi="Times New Roman" w:hint="default"/>
          <w:sz w:val="24"/>
          <w:szCs w:val="24"/>
          <w:rtl w:val="0"/>
          <w:lang w:val="en-US"/>
        </w:rPr>
        <w:t>“</w:t>
      </w:r>
      <w:r>
        <w:rPr>
          <w:rFonts w:ascii="Times New Roman" w:hAnsi="Times New Roman"/>
          <w:sz w:val="24"/>
          <w:szCs w:val="24"/>
          <w:rtl w:val="0"/>
          <w:lang w:val="en-US"/>
        </w:rPr>
        <w:t>the intelligence service not only becomes a surrogate family but also a surrogate religion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(26). This surrogacy of both family and religion implies the intelligence service becomes an entity that is all-consuming for the agent.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reiterates the point of Hindersmann in even the beginning stages of the relationship between Leamas and Liz Gold. To say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gives the beginning of the couple</w:t>
      </w:r>
      <w:r>
        <w:rPr>
          <w:rFonts w:ascii="Times New Roman" w:hAnsi="Times New Roman" w:hint="default"/>
          <w:sz w:val="24"/>
          <w:szCs w:val="24"/>
          <w:rtl w:val="0"/>
          <w:lang w:val="en-US"/>
        </w:rPr>
        <w:t>’</w:t>
      </w:r>
      <w:r>
        <w:rPr>
          <w:rFonts w:ascii="Times New Roman" w:hAnsi="Times New Roman"/>
          <w:sz w:val="24"/>
          <w:szCs w:val="24"/>
          <w:rtl w:val="0"/>
          <w:lang w:val="en-US"/>
        </w:rPr>
        <w:t>s relationship a brief synopsis would be an understatement because the author gives more of a bullet point-style account beginning with the first dinner, mentions that there were other dinners, and goes into one evening of particular interest. That evening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would could have been any number of dates between Gold and Leamas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does not specify)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includes a conversation between the pair about God or any other deity. When Gold seems surprised at the vague answers of Leamas, he replies with, </w:t>
      </w:r>
      <w:r>
        <w:rPr>
          <w:rFonts w:ascii="Times New Roman" w:hAnsi="Times New Roman" w:hint="default"/>
          <w:sz w:val="24"/>
          <w:szCs w:val="24"/>
          <w:rtl w:val="0"/>
          <w:lang w:val="en-US"/>
        </w:rPr>
        <w:t>“‘</w:t>
      </w:r>
      <w:r>
        <w:rPr>
          <w:rFonts w:ascii="Times New Roman" w:hAnsi="Times New Roman"/>
          <w:sz w:val="24"/>
          <w:szCs w:val="24"/>
          <w:rtl w:val="0"/>
          <w:lang w:val="en-US"/>
        </w:rPr>
        <w:t>Sorry, Liz., you</w:t>
      </w:r>
      <w:r>
        <w:rPr>
          <w:rFonts w:ascii="Times New Roman" w:hAnsi="Times New Roman" w:hint="default"/>
          <w:sz w:val="24"/>
          <w:szCs w:val="24"/>
          <w:rtl w:val="0"/>
          <w:lang w:val="en-US"/>
        </w:rPr>
        <w:t>’</w:t>
      </w:r>
      <w:r>
        <w:rPr>
          <w:rFonts w:ascii="Times New Roman" w:hAnsi="Times New Roman"/>
          <w:sz w:val="24"/>
          <w:szCs w:val="24"/>
          <w:rtl w:val="0"/>
          <w:lang w:val="en-US"/>
        </w:rPr>
        <w:t>ve got it wrong. I don</w:t>
      </w:r>
      <w:r>
        <w:rPr>
          <w:rFonts w:ascii="Times New Roman" w:hAnsi="Times New Roman" w:hint="default"/>
          <w:sz w:val="24"/>
          <w:szCs w:val="24"/>
          <w:rtl w:val="0"/>
          <w:lang w:val="en-US"/>
        </w:rPr>
        <w:t>’</w:t>
      </w:r>
      <w:r>
        <w:rPr>
          <w:rFonts w:ascii="Times New Roman" w:hAnsi="Times New Roman"/>
          <w:sz w:val="24"/>
          <w:szCs w:val="24"/>
          <w:rtl w:val="0"/>
          <w:lang w:val="en-US"/>
        </w:rPr>
        <w:t>t like Americans and public schools. I don</w:t>
      </w:r>
      <w:r>
        <w:rPr>
          <w:rFonts w:ascii="Times New Roman" w:hAnsi="Times New Roman" w:hint="default"/>
          <w:sz w:val="24"/>
          <w:szCs w:val="24"/>
          <w:rtl w:val="0"/>
          <w:lang w:val="en-US"/>
        </w:rPr>
        <w:t>’</w:t>
      </w:r>
      <w:r>
        <w:rPr>
          <w:rFonts w:ascii="Times New Roman" w:hAnsi="Times New Roman"/>
          <w:sz w:val="24"/>
          <w:szCs w:val="24"/>
          <w:rtl w:val="0"/>
          <w:lang w:val="en-US"/>
        </w:rPr>
        <w:t>t like military parades and people who play soldiers.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Without smiling, he added, </w:t>
      </w:r>
      <w:r>
        <w:rPr>
          <w:rFonts w:ascii="Times New Roman" w:hAnsi="Times New Roman" w:hint="default"/>
          <w:sz w:val="24"/>
          <w:szCs w:val="24"/>
          <w:rtl w:val="0"/>
          <w:lang w:val="en-US"/>
        </w:rPr>
        <w:t>‘</w:t>
      </w:r>
      <w:r>
        <w:rPr>
          <w:rFonts w:ascii="Times New Roman" w:hAnsi="Times New Roman"/>
          <w:sz w:val="24"/>
          <w:szCs w:val="24"/>
          <w:rtl w:val="0"/>
          <w:lang w:val="en-US"/>
        </w:rPr>
        <w:t>and I don</w:t>
      </w:r>
      <w:r>
        <w:rPr>
          <w:rFonts w:ascii="Times New Roman" w:hAnsi="Times New Roman" w:hint="default"/>
          <w:sz w:val="24"/>
          <w:szCs w:val="24"/>
          <w:rtl w:val="0"/>
          <w:lang w:val="en-US"/>
        </w:rPr>
        <w:t>’</w:t>
      </w:r>
      <w:r>
        <w:rPr>
          <w:rFonts w:ascii="Times New Roman" w:hAnsi="Times New Roman"/>
          <w:sz w:val="24"/>
          <w:szCs w:val="24"/>
          <w:rtl w:val="0"/>
          <w:lang w:val="en-US"/>
        </w:rPr>
        <w:t>t like conversations about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(31). What is interesting about Leamas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response is twofold: he infers he is not only comfortable with his life in the shadows as an agent, but he also does not pay any attention to philosophies. Le Carr</w:t>
      </w:r>
      <w:r>
        <w:rPr>
          <w:rFonts w:ascii="Times New Roman" w:hAnsi="Times New Roman" w:hint="default"/>
          <w:sz w:val="24"/>
          <w:szCs w:val="24"/>
          <w:rtl w:val="0"/>
          <w:lang w:val="en-US"/>
        </w:rPr>
        <w:t>é’</w:t>
      </w:r>
      <w:r>
        <w:rPr>
          <w:rFonts w:ascii="Times New Roman" w:hAnsi="Times New Roman"/>
          <w:sz w:val="24"/>
          <w:szCs w:val="24"/>
          <w:rtl w:val="0"/>
          <w:lang w:val="en-US"/>
        </w:rPr>
        <w:t xml:space="preserve">s use of a capital </w:t>
      </w:r>
      <w:r>
        <w:rPr>
          <w:rFonts w:ascii="Times New Roman" w:hAnsi="Times New Roman" w:hint="default"/>
          <w:sz w:val="24"/>
          <w:szCs w:val="24"/>
          <w:rtl w:val="0"/>
          <w:lang w:val="en-US"/>
        </w:rPr>
        <w:t>“</w:t>
      </w:r>
      <w:r>
        <w:rPr>
          <w:rFonts w:ascii="Times New Roman" w:hAnsi="Times New Roman"/>
          <w:sz w:val="24"/>
          <w:szCs w:val="24"/>
          <w:rtl w:val="0"/>
          <w:lang w:val="en-US"/>
        </w:rPr>
        <w:t>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Leamas says </w:t>
      </w:r>
      <w:r>
        <w:rPr>
          <w:rFonts w:ascii="Times New Roman" w:hAnsi="Times New Roman" w:hint="default"/>
          <w:sz w:val="24"/>
          <w:szCs w:val="24"/>
          <w:rtl w:val="0"/>
          <w:lang w:val="en-US"/>
        </w:rPr>
        <w:t>“</w:t>
      </w:r>
      <w:r>
        <w:rPr>
          <w:rFonts w:ascii="Times New Roman" w:hAnsi="Times New Roman"/>
          <w:sz w:val="24"/>
          <w:szCs w:val="24"/>
          <w:rtl w:val="0"/>
          <w:lang w:val="en-US"/>
        </w:rPr>
        <w:t>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an interesting choice because it is an intentional move to draw his reader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attention to the word and its significance. In this context, the word acts as an umbrella term which implies </w:t>
      </w:r>
      <w:r>
        <w:rPr>
          <w:rFonts w:ascii="Times New Roman" w:hAnsi="Times New Roman" w:hint="default"/>
          <w:sz w:val="24"/>
          <w:szCs w:val="24"/>
          <w:rtl w:val="0"/>
          <w:lang w:val="en-US"/>
        </w:rPr>
        <w:t>“</w:t>
      </w:r>
      <w:r>
        <w:rPr>
          <w:rFonts w:ascii="Times New Roman" w:hAnsi="Times New Roman"/>
          <w:sz w:val="24"/>
          <w:szCs w:val="24"/>
          <w:rtl w:val="0"/>
          <w:lang w:val="en-US"/>
        </w:rPr>
        <w:t>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being the philosophical questions involved in it. Further, Le Carr</w:t>
      </w:r>
      <w:r>
        <w:rPr>
          <w:rFonts w:ascii="Times New Roman" w:hAnsi="Times New Roman" w:hint="default"/>
          <w:sz w:val="24"/>
          <w:szCs w:val="24"/>
          <w:rtl w:val="0"/>
          <w:lang w:val="en-US"/>
        </w:rPr>
        <w:t>é’</w:t>
      </w:r>
      <w:r>
        <w:rPr>
          <w:rFonts w:ascii="Times New Roman" w:hAnsi="Times New Roman"/>
          <w:sz w:val="24"/>
          <w:szCs w:val="24"/>
          <w:rtl w:val="0"/>
          <w:lang w:val="en-US"/>
        </w:rPr>
        <w:t xml:space="preserve">s use of the capital letter is a dichotomy because it allows the reader to assume that, since Leamas does not wish to work in philosophies, he must then be one who feels most comfortable in absolutes, but his existence as a spy is centered in the grey areas of morality.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is often the case in relationships involving dependency, there will be an imbalance of power. In Le Carr</w:t>
      </w:r>
      <w:r>
        <w:rPr>
          <w:rFonts w:ascii="Times New Roman" w:hAnsi="Times New Roman" w:hint="default"/>
          <w:sz w:val="24"/>
          <w:szCs w:val="24"/>
          <w:rtl w:val="0"/>
          <w:lang w:val="en-US"/>
        </w:rPr>
        <w:t>é’</w:t>
      </w:r>
      <w:r>
        <w:rPr>
          <w:rFonts w:ascii="Times New Roman" w:hAnsi="Times New Roman"/>
          <w:sz w:val="24"/>
          <w:szCs w:val="24"/>
          <w:rtl w:val="0"/>
          <w:lang w:val="en-US"/>
        </w:rPr>
        <w:t xml:space="preserve">s novel, there is a constant struggle of power between Leamas and the Circus, but Brooker helps the reader realize that the Circus holds the power when he says that, </w:t>
      </w:r>
      <w:r>
        <w:rPr>
          <w:rFonts w:ascii="Times New Roman" w:hAnsi="Times New Roman" w:hint="default"/>
          <w:sz w:val="24"/>
          <w:szCs w:val="24"/>
          <w:rtl w:val="0"/>
          <w:lang w:val="en-US"/>
        </w:rPr>
        <w:t>“</w:t>
      </w:r>
      <w:r>
        <w:rPr>
          <w:rFonts w:ascii="Times New Roman" w:hAnsi="Times New Roman"/>
          <w:sz w:val="24"/>
          <w:szCs w:val="24"/>
          <w:rtl w:val="0"/>
          <w:lang w:val="en-US"/>
        </w:rPr>
        <w:t>as Derrida notes, the dominant powers picks the terms, legitimizes the vocabulary, and decides the official interpretation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(148). Le Carr</w:t>
      </w:r>
      <w:r>
        <w:rPr>
          <w:rFonts w:ascii="Times New Roman" w:hAnsi="Times New Roman" w:hint="default"/>
          <w:sz w:val="24"/>
          <w:szCs w:val="24"/>
          <w:rtl w:val="0"/>
          <w:lang w:val="en-US"/>
        </w:rPr>
        <w:t>é’</w:t>
      </w:r>
      <w:r>
        <w:rPr>
          <w:rFonts w:ascii="Times New Roman" w:hAnsi="Times New Roman"/>
          <w:sz w:val="24"/>
          <w:szCs w:val="24"/>
          <w:rtl w:val="0"/>
          <w:lang w:val="en-US"/>
        </w:rPr>
        <w:t>s novel drives in the Derrida</w:t>
      </w:r>
      <w:r>
        <w:rPr>
          <w:rFonts w:ascii="Times New Roman" w:hAnsi="Times New Roman" w:hint="default"/>
          <w:sz w:val="24"/>
          <w:szCs w:val="24"/>
          <w:rtl w:val="0"/>
          <w:lang w:val="en-US"/>
        </w:rPr>
        <w:t>’</w:t>
      </w:r>
      <w:r>
        <w:rPr>
          <w:rFonts w:ascii="Times New Roman" w:hAnsi="Times New Roman"/>
          <w:sz w:val="24"/>
          <w:szCs w:val="24"/>
          <w:rtl w:val="0"/>
          <w:lang w:val="en-US"/>
        </w:rPr>
        <w:t>s point (through Brooker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article) even in the way the novel is written. Throughout the entirety of the book are agency-specific terms; words that the agency has coined and its personnel adopted in everyday language. Just in the use of these terms, MI6 (the Circus) shows that it is the dominant power. During a conversation with Fiedler, Leamas tells the former that,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ve told you all I know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(117), but Fiedler shows that, acting as the face of the agency, he knows Leamas is not being honest, even if unintentionally when he replies with, </w:t>
      </w:r>
      <w:r>
        <w:rPr>
          <w:rFonts w:ascii="Times New Roman" w:hAnsi="Times New Roman" w:hint="default"/>
          <w:sz w:val="24"/>
          <w:szCs w:val="24"/>
          <w:rtl w:val="0"/>
          <w:lang w:val="en-US"/>
        </w:rPr>
        <w:t>“</w:t>
      </w:r>
      <w:r>
        <w:rPr>
          <w:rFonts w:ascii="Times New Roman" w:hAnsi="Times New Roman"/>
          <w:sz w:val="24"/>
          <w:szCs w:val="24"/>
          <w:rtl w:val="0"/>
          <w:lang w:val="en-US"/>
        </w:rPr>
        <w:t>Oh no, you haven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You have told us all you are </w:t>
      </w:r>
      <w:r>
        <w:rPr>
          <w:rFonts w:ascii="Times New Roman" w:hAnsi="Times New Roman"/>
          <w:i w:val="1"/>
          <w:iCs w:val="1"/>
          <w:sz w:val="24"/>
          <w:szCs w:val="24"/>
          <w:rtl w:val="0"/>
          <w:lang w:val="en-US"/>
        </w:rPr>
        <w:t>conscious</w:t>
      </w:r>
      <w:r>
        <w:rPr>
          <w:rFonts w:ascii="Times New Roman" w:hAnsi="Times New Roman"/>
          <w:sz w:val="24"/>
          <w:szCs w:val="24"/>
          <w:rtl w:val="0"/>
          <w:lang w:val="en-US"/>
        </w:rPr>
        <w:t xml:space="preserve"> of knowing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(117).  In this line,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proves that both Brooker and Hindersmann</w:t>
      </w:r>
      <w:r>
        <w:rPr>
          <w:rFonts w:ascii="Times New Roman" w:hAnsi="Times New Roman" w:hint="default"/>
          <w:sz w:val="24"/>
          <w:szCs w:val="24"/>
          <w:rtl w:val="0"/>
          <w:lang w:val="en-US"/>
        </w:rPr>
        <w:t>’</w:t>
      </w:r>
      <w:r>
        <w:rPr>
          <w:rFonts w:ascii="Times New Roman" w:hAnsi="Times New Roman"/>
          <w:sz w:val="24"/>
          <w:szCs w:val="24"/>
          <w:rtl w:val="0"/>
          <w:lang w:val="en-US"/>
        </w:rPr>
        <w:t>s points are valid. Brooker</w:t>
      </w:r>
      <w:r>
        <w:rPr>
          <w:rFonts w:ascii="Times New Roman" w:hAnsi="Times New Roman" w:hint="default"/>
          <w:sz w:val="24"/>
          <w:szCs w:val="24"/>
          <w:rtl w:val="0"/>
          <w:lang w:val="en-US"/>
        </w:rPr>
        <w:t>’</w:t>
      </w:r>
      <w:r>
        <w:rPr>
          <w:rFonts w:ascii="Times New Roman" w:hAnsi="Times New Roman"/>
          <w:sz w:val="24"/>
          <w:szCs w:val="24"/>
          <w:rtl w:val="0"/>
          <w:lang w:val="en-US"/>
        </w:rPr>
        <w:t>s point is validated by showing that the agency knows more than anyone involved, cementing their status as the most powerful entity. The same line Fiedler says to Leamas also shows the truth in Hindersmann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point about surrogate religion when Fiedler implies that the agency is an omniscient (and also unseen) entity, similar to religious figures. </w:t>
      </w:r>
    </w:p>
    <w:p>
      <w:pPr>
        <w:pStyle w:val="Body A"/>
        <w:spacing w:line="480" w:lineRule="auto"/>
      </w:pPr>
      <w:r>
        <w:rPr>
          <w:rFonts w:ascii="Times New Roman" w:cs="Times New Roman" w:hAnsi="Times New Roman" w:eastAsia="Times New Roman"/>
          <w:sz w:val="24"/>
          <w:szCs w:val="24"/>
          <w:rtl w:val="0"/>
        </w:rPr>
        <w:tab/>
        <w:t>The spies in Le Carr</w:t>
      </w:r>
      <w:r>
        <w:rPr>
          <w:rFonts w:ascii="Times New Roman" w:hAnsi="Times New Roman" w:hint="default"/>
          <w:sz w:val="24"/>
          <w:szCs w:val="24"/>
          <w:rtl w:val="0"/>
          <w:lang w:val="en-US"/>
        </w:rPr>
        <w:t>é’</w:t>
      </w:r>
      <w:r>
        <w:rPr>
          <w:rFonts w:ascii="Times New Roman" w:hAnsi="Times New Roman"/>
          <w:sz w:val="24"/>
          <w:szCs w:val="24"/>
          <w:rtl w:val="0"/>
          <w:lang w:val="en-US"/>
        </w:rPr>
        <w:t xml:space="preserve">s novel all hover in ambiguity of morality, but the agency is just as bad, if not worse; the agency is only viewed as being the </w:t>
      </w:r>
      <w:r>
        <w:rPr>
          <w:rFonts w:ascii="Times New Roman" w:hAnsi="Times New Roman" w:hint="default"/>
          <w:sz w:val="24"/>
          <w:szCs w:val="24"/>
          <w:rtl w:val="0"/>
          <w:lang w:val="en-US"/>
        </w:rPr>
        <w:t>“</w:t>
      </w:r>
      <w:r>
        <w:rPr>
          <w:rFonts w:ascii="Times New Roman" w:hAnsi="Times New Roman"/>
          <w:sz w:val="24"/>
          <w:szCs w:val="24"/>
          <w:rtl w:val="0"/>
          <w:lang w:val="en-US"/>
        </w:rPr>
        <w:t>good</w:t>
      </w:r>
      <w:r>
        <w:rPr>
          <w:rFonts w:ascii="Times New Roman" w:hAnsi="Times New Roman" w:hint="default"/>
          <w:sz w:val="24"/>
          <w:szCs w:val="24"/>
          <w:rtl w:val="0"/>
          <w:lang w:val="en-US"/>
        </w:rPr>
        <w:t xml:space="preserve">” </w:t>
      </w:r>
      <w:r>
        <w:rPr>
          <w:rFonts w:ascii="Times New Roman" w:hAnsi="Times New Roman"/>
          <w:sz w:val="24"/>
          <w:szCs w:val="24"/>
          <w:rtl w:val="0"/>
          <w:lang w:val="en-US"/>
        </w:rPr>
        <w:t>entity. Le Carr</w:t>
      </w:r>
      <w:r>
        <w:rPr>
          <w:rFonts w:ascii="Times New Roman" w:hAnsi="Times New Roman" w:hint="default"/>
          <w:sz w:val="24"/>
          <w:szCs w:val="24"/>
          <w:rtl w:val="0"/>
          <w:lang w:val="en-US"/>
        </w:rPr>
        <w:t xml:space="preserve">é </w:t>
      </w:r>
      <w:r>
        <w:rPr>
          <w:rFonts w:ascii="Times New Roman" w:hAnsi="Times New Roman"/>
          <w:sz w:val="24"/>
          <w:szCs w:val="24"/>
          <w:rtl w:val="0"/>
          <w:lang w:val="en-US"/>
        </w:rPr>
        <w:t>also brings up an interesting concept of morality when he forces his reader to determine between if an act of an individual is bad or if the entity issuing the order is the evil. One must wonder if the East German sentry who killed Karl Reimeck was an evil person, or if he was a possibly moral man acting on the orders of an immoral entity.</w:t>
      </w:r>
      <w:r>
        <w:rPr>
          <w:rFonts w:ascii="Arial Unicode MS" w:cs="Arial Unicode MS" w:hAnsi="Arial Unicode MS" w:eastAsia="Arial Unicode MS"/>
          <w:b w:val="0"/>
          <w:bCs w:val="0"/>
          <w:i w:val="0"/>
          <w:iCs w:val="0"/>
          <w:sz w:val="24"/>
          <w:szCs w:val="24"/>
        </w:rPr>
        <w:br w:type="page"/>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Default"/>
        <w:spacing w:line="480" w:lineRule="auto"/>
        <w:jc w:val="center"/>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Works Cited</w:t>
      </w:r>
    </w:p>
    <w:p>
      <w:pPr>
        <w:pStyle w:val="Default"/>
        <w:spacing w:line="48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Barzun, Jacques. "Meditations on the Literature of Spying." </w:t>
      </w:r>
      <w:r>
        <w:rPr>
          <w:rFonts w:ascii="Times New Roman" w:hAnsi="Times New Roman"/>
          <w:i w:val="1"/>
          <w:iCs w:val="1"/>
          <w:outline w:val="0"/>
          <w:color w:val="333333"/>
          <w:sz w:val="24"/>
          <w:szCs w:val="24"/>
          <w:u w:color="333333"/>
          <w:shd w:val="clear" w:color="auto" w:fill="ffffff"/>
          <w:rtl w:val="0"/>
          <w:lang w:val="en-US"/>
          <w14:textFill>
            <w14:solidFill>
              <w14:srgbClr w14:val="333333"/>
            </w14:solidFill>
          </w14:textFill>
        </w:rPr>
        <w:t>The American Scholar</w:t>
      </w:r>
      <w:r>
        <w:rPr>
          <w:rFonts w:ascii="Times New Roman" w:hAnsi="Times New Roman"/>
          <w:outline w:val="0"/>
          <w:color w:val="333333"/>
          <w:sz w:val="24"/>
          <w:szCs w:val="24"/>
          <w:u w:color="333333"/>
          <w:shd w:val="clear" w:color="auto" w:fill="ffffff"/>
          <w:rtl w:val="0"/>
          <w:lang w:val="pt-PT"/>
          <w14:textFill>
            <w14:solidFill>
              <w14:srgbClr w14:val="333333"/>
            </w14:solidFill>
          </w14:textFill>
        </w:rPr>
        <w:t>, vol.</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it-IT"/>
          <w14:textFill>
            <w14:solidFill>
              <w14:srgbClr w14:val="333333"/>
            </w14:solidFill>
          </w14:textFill>
        </w:rPr>
        <w:t>34, no.</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2,</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1965, pp.</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167-178. Accessed 2</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Feb.</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2019.</w:t>
      </w:r>
    </w:p>
    <w:p>
      <w:pPr>
        <w:pStyle w:val="Default"/>
        <w:spacing w:line="48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Brooker, Will. "In Focus: The Long Shadows of 9/11. Science Fiction, Thrillers, and the War on Terror." </w:t>
      </w:r>
      <w:r>
        <w:rPr>
          <w:rFonts w:ascii="Times New Roman" w:hAnsi="Times New Roman"/>
          <w:i w:val="1"/>
          <w:iCs w:val="1"/>
          <w:outline w:val="0"/>
          <w:color w:val="333333"/>
          <w:sz w:val="24"/>
          <w:szCs w:val="24"/>
          <w:u w:color="333333"/>
          <w:shd w:val="clear" w:color="auto" w:fill="ffffff"/>
          <w:rtl w:val="0"/>
          <w:lang w:val="it-IT"/>
          <w14:textFill>
            <w14:solidFill>
              <w14:srgbClr w14:val="333333"/>
            </w14:solidFill>
          </w14:textFill>
        </w:rPr>
        <w:t>Cinema Journal</w:t>
      </w:r>
      <w:r>
        <w:rPr>
          <w:rFonts w:ascii="Times New Roman" w:hAnsi="Times New Roman"/>
          <w:outline w:val="0"/>
          <w:color w:val="333333"/>
          <w:sz w:val="24"/>
          <w:szCs w:val="24"/>
          <w:u w:color="333333"/>
          <w:shd w:val="clear" w:color="auto" w:fill="ffffff"/>
          <w:rtl w:val="0"/>
          <w:lang w:val="pt-PT"/>
          <w14:textFill>
            <w14:solidFill>
              <w14:srgbClr w14:val="333333"/>
            </w14:solidFill>
          </w14:textFill>
        </w:rPr>
        <w:t>, vol.</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1,</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Feb.</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pt-PT"/>
          <w14:textFill>
            <w14:solidFill>
              <w14:srgbClr w14:val="333333"/>
            </w14:solidFill>
          </w14:textFill>
        </w:rPr>
        <w:t>2011, pp.</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145-148. Accessed 2</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Feb.</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2019.</w:t>
      </w:r>
    </w:p>
    <w:p>
      <w:pPr>
        <w:pStyle w:val="Default"/>
        <w:spacing w:line="48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Carr</w:t>
      </w:r>
      <w:r>
        <w:rPr>
          <w:rFonts w:ascii="Times New Roman" w:hAnsi="Times New Roman" w:hint="default"/>
          <w:outline w:val="0"/>
          <w:color w:val="333333"/>
          <w:sz w:val="24"/>
          <w:szCs w:val="24"/>
          <w:u w:color="333333"/>
          <w:shd w:val="clear" w:color="auto" w:fill="ffffff"/>
          <w:rtl w:val="0"/>
          <w:lang w:val="fr-FR"/>
          <w14:textFill>
            <w14:solidFill>
              <w14:srgbClr w14:val="333333"/>
            </w14:solidFill>
          </w14:textFill>
        </w:rPr>
        <w:t>é</w:t>
      </w:r>
      <w:r>
        <w:rPr>
          <w:rFonts w:ascii="Times New Roman" w:hAnsi="Times New Roman"/>
          <w:outline w:val="0"/>
          <w:color w:val="333333"/>
          <w:sz w:val="24"/>
          <w:szCs w:val="24"/>
          <w:u w:color="333333"/>
          <w:shd w:val="clear" w:color="auto" w:fill="ffffff"/>
          <w:rtl w:val="0"/>
          <w:lang w:val="de-DE"/>
          <w14:textFill>
            <w14:solidFill>
              <w14:srgbClr w14:val="333333"/>
            </w14:solidFill>
          </w14:textFill>
        </w:rPr>
        <w:t>, John</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L. </w:t>
      </w:r>
      <w:r>
        <w:rPr>
          <w:rFonts w:ascii="Times New Roman" w:hAnsi="Times New Roman"/>
          <w:i w:val="1"/>
          <w:iCs w:val="1"/>
          <w:outline w:val="0"/>
          <w:color w:val="333333"/>
          <w:sz w:val="24"/>
          <w:szCs w:val="24"/>
          <w:u w:color="333333"/>
          <w:shd w:val="clear" w:color="auto" w:fill="ffffff"/>
          <w:rtl w:val="0"/>
          <w:lang w:val="en-US"/>
          <w14:textFill>
            <w14:solidFill>
              <w14:srgbClr w14:val="333333"/>
            </w14:solidFill>
          </w14:textFill>
        </w:rPr>
        <w:t>The Spy Who Came in from the Cold: A George Smiley Novel</w:t>
      </w:r>
      <w:r>
        <w:rPr>
          <w:rFonts w:ascii="Times New Roman" w:hAnsi="Times New Roman"/>
          <w:outline w:val="0"/>
          <w:color w:val="333333"/>
          <w:sz w:val="24"/>
          <w:szCs w:val="24"/>
          <w:u w:color="333333"/>
          <w:shd w:val="clear" w:color="auto" w:fill="ffffff"/>
          <w:rtl w:val="0"/>
          <w:lang w:val="pt-PT"/>
          <w14:textFill>
            <w14:solidFill>
              <w14:srgbClr w14:val="333333"/>
            </w14:solidFill>
          </w14:textFill>
        </w:rPr>
        <w:t>. Penguin,</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2012.</w:t>
      </w:r>
    </w:p>
    <w:p>
      <w:pPr>
        <w:pStyle w:val="Default"/>
        <w:spacing w:line="480" w:lineRule="auto"/>
      </w:pP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Hindersmann, Jost. ""The right side lost but the wrong side won": John Le Carr</w:t>
      </w:r>
      <w:r>
        <w:rPr>
          <w:rFonts w:ascii="Times New Roman" w:hAnsi="Times New Roman" w:hint="default"/>
          <w:outline w:val="0"/>
          <w:color w:val="333333"/>
          <w:sz w:val="24"/>
          <w:szCs w:val="24"/>
          <w:u w:color="333333"/>
          <w:shd w:val="clear" w:color="auto" w:fill="ffffff"/>
          <w:rtl w:val="0"/>
          <w:lang w:val="fr-FR"/>
          <w14:textFill>
            <w14:solidFill>
              <w14:srgbClr w14:val="333333"/>
            </w14:solidFill>
          </w14:textFill>
        </w:rPr>
        <w:t>é</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's Spy Novels before and after the End of the Cold War." </w:t>
      </w:r>
      <w:r>
        <w:rPr>
          <w:rFonts w:ascii="Times New Roman" w:hAnsi="Times New Roman"/>
          <w:i w:val="1"/>
          <w:iCs w:val="1"/>
          <w:outline w:val="0"/>
          <w:color w:val="333333"/>
          <w:sz w:val="24"/>
          <w:szCs w:val="24"/>
          <w:u w:color="333333"/>
          <w:shd w:val="clear" w:color="auto" w:fill="ffffff"/>
          <w:rtl w:val="0"/>
          <w:lang w:val="es-ES_tradnl"/>
          <w14:textFill>
            <w14:solidFill>
              <w14:srgbClr w14:val="333333"/>
            </w14:solidFill>
          </w14:textFill>
        </w:rPr>
        <w:t>Clues</w:t>
      </w:r>
      <w:r>
        <w:rPr>
          <w:rFonts w:ascii="Times New Roman" w:hAnsi="Times New Roman"/>
          <w:outline w:val="0"/>
          <w:color w:val="333333"/>
          <w:sz w:val="24"/>
          <w:szCs w:val="24"/>
          <w:u w:color="333333"/>
          <w:shd w:val="clear" w:color="auto" w:fill="ffffff"/>
          <w:rtl w:val="0"/>
          <w:lang w:val="pt-PT"/>
          <w14:textFill>
            <w14:solidFill>
              <w14:srgbClr w14:val="333333"/>
            </w14:solidFill>
          </w14:textFill>
        </w:rPr>
        <w:t>, vol.</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it-IT"/>
          <w14:textFill>
            <w14:solidFill>
              <w14:srgbClr w14:val="333333"/>
            </w14:solidFill>
          </w14:textFill>
        </w:rPr>
        <w:t>23, no.</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4,</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2005, pp.</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25-37. Accessed 2</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Feb.</w:t>
      </w:r>
      <w:r>
        <w:rPr>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w:t>
      </w:r>
      <w:r>
        <w:rPr>
          <w:rFonts w:ascii="Times New Roman" w:hAnsi="Times New Roman"/>
          <w:outline w:val="0"/>
          <w:color w:val="333333"/>
          <w:sz w:val="24"/>
          <w:szCs w:val="24"/>
          <w:u w:color="333333"/>
          <w:shd w:val="clear" w:color="auto" w:fill="ffffff"/>
          <w:rtl w:val="0"/>
          <w:lang w:val="en-US"/>
          <w14:textFill>
            <w14:solidFill>
              <w14:srgbClr w14:val="333333"/>
            </w14:solidFill>
          </w14:textFill>
        </w:rPr>
        <w:t>2019.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